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79" w:rsidRDefault="00776979" w:rsidP="0077697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it-IT"/>
        </w:rPr>
      </w:pPr>
      <w:r w:rsidRPr="00776979">
        <w:rPr>
          <w:rFonts w:ascii="Arial" w:eastAsia="Times New Roman" w:hAnsi="Arial" w:cs="Arial"/>
          <w:kern w:val="36"/>
          <w:sz w:val="28"/>
          <w:szCs w:val="28"/>
          <w:lang w:eastAsia="it-IT"/>
        </w:rPr>
        <w:t>Siti di riferimento</w:t>
      </w:r>
      <w:r>
        <w:rPr>
          <w:rFonts w:ascii="Arial" w:eastAsia="Times New Roman" w:hAnsi="Arial" w:cs="Arial"/>
          <w:kern w:val="36"/>
          <w:sz w:val="28"/>
          <w:szCs w:val="28"/>
          <w:lang w:eastAsia="it-IT"/>
        </w:rPr>
        <w:t>:</w:t>
      </w:r>
    </w:p>
    <w:p w:rsidR="00776979" w:rsidRPr="00776979" w:rsidRDefault="00776979" w:rsidP="0077697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it-IT"/>
        </w:rPr>
      </w:pPr>
      <w:r w:rsidRPr="00776979">
        <w:rPr>
          <w:rFonts w:ascii="Arial" w:eastAsia="Times New Roman" w:hAnsi="Arial" w:cs="Arial"/>
          <w:kern w:val="36"/>
          <w:sz w:val="28"/>
          <w:szCs w:val="28"/>
          <w:lang w:eastAsia="it-IT"/>
        </w:rPr>
        <w:t>https://www.filodidattica.it/filosofia-per-bambini/</w:t>
      </w:r>
    </w:p>
    <w:p w:rsidR="00776979" w:rsidRDefault="00776979" w:rsidP="0077697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8"/>
          <w:szCs w:val="58"/>
          <w:lang w:eastAsia="it-IT"/>
        </w:rPr>
      </w:pPr>
    </w:p>
    <w:p w:rsidR="00776979" w:rsidRDefault="00776979" w:rsidP="0077697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8"/>
          <w:szCs w:val="58"/>
          <w:lang w:eastAsia="it-IT"/>
        </w:rPr>
      </w:pPr>
    </w:p>
    <w:p w:rsidR="00776979" w:rsidRPr="00776979" w:rsidRDefault="00776979" w:rsidP="00776979">
      <w:pPr>
        <w:spacing w:after="0" w:line="240" w:lineRule="auto"/>
        <w:outlineLvl w:val="0"/>
        <w:rPr>
          <w:rFonts w:ascii="JustWaitAndSee" w:eastAsia="Times New Roman" w:hAnsi="JustWaitAndSee" w:cs="Arial"/>
          <w:kern w:val="36"/>
          <w:sz w:val="40"/>
          <w:szCs w:val="40"/>
          <w:lang w:eastAsia="it-IT"/>
        </w:rPr>
      </w:pPr>
      <w:r w:rsidRPr="00776979">
        <w:rPr>
          <w:rFonts w:ascii="JustWaitAndSee" w:eastAsia="Times New Roman" w:hAnsi="JustWaitAndSee" w:cs="Arial"/>
          <w:kern w:val="36"/>
          <w:sz w:val="40"/>
          <w:szCs w:val="40"/>
          <w:lang w:eastAsia="it-IT"/>
        </w:rPr>
        <w:t>L’attuale Bibliografia Italiana sulla Philosophy for Children</w:t>
      </w:r>
    </w:p>
    <w:p w:rsidR="00776979" w:rsidRPr="00776979" w:rsidRDefault="00776979" w:rsidP="0077697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8"/>
          <w:szCs w:val="58"/>
          <w:lang w:eastAsia="it-IT"/>
        </w:rPr>
      </w:pP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Anonimo,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Fare filosofia con i bambini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“Informazione Filosofica”, N.1/1990, p. 61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Arosio E.,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Alice nel paese dei filosofi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“L’Espresso” del 9 Agosto 1987.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Brüning B.,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Fare filosofia con i bambini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“Bollettino della SFI”, n. 132/1987.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Cinus M.F.,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C’era una volta Socrate: testi e pretesti per pensare in cerchio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pubblicazioni IRRE Sardegna, Ortacesus:Nuove Grafiche Puddu, Cagliari, 2002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Sophia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“Informazione Filosofica”, N. 7/1992, p. 58.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Harry e la scoperta delle idee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“Nuova Secondaria”, N. 5/1991, p. 41.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M. Lipman e la Philosophy for children,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in “Bollettino SFI”, N. 142/1991.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A proposito di un’esperienza di lavoro con la P4C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“Bollettino SFI”, N. 155/95.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La Philosophy for children come progetto educativo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nel vol. a c. di M. de Rose, Filosofia e ricerca didattica, Quaderno N° 25 dell’IRRSAE-Puglia, Bari 1995.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Il tempo come variabile dei processi formativi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“Calligrafie”, N° 8/1996.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Dalle “filosofie” al “filosofare”. La proposta di M. Lipman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AA.VV., La didattica della filosofia, (Atti del Convegno Nazionale SFI-Treviso 1993), SFI Treviso 1996, pp.176-179.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Tra oralità e scrittura in filosofia: il modello della “Philosophy for children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“, in De Pasquale M. (a c. di), Filosofia per tutti, Angeli, Milano 1998.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Filosofia per la formazione. Il curricolo della P4C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  in “Prospettiva EP”, n. 2-3/2002.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 (a cura di),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Filosofia e formazione. 10 anni di P4C in Italia,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Liguori, Napoli 2002.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Effetti emancipativi della “comunità di ricerca”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“Pratiche filosofiche”, n. 3, Aprile 2004.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Cosentino A., (a cura di),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Pratica filosofica e professionalità riflessiva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Liguori, Napoli 2005.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De Pasquale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Didattica della filosofia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Angeli, Milano 1994. “Edizione” (Rivista della Sez. Friuli della SFI), N° 13/96.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Ficher R.,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Insegnare a pensare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“Psicologia e scuola”, nn. 72-76/1994-95.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lastRenderedPageBreak/>
        <w:t>Laeng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Bambini filosofi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“La Vita Scolastica”, del 16.10.1995.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Laporta R.,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Fare filosofia con i bambini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“Paradigmi”, N° 40/1996.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Lipman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Pratica filosofica e riforma dell’educazione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“Bollettino SFI”, N. 135/1988.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Lipman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Orientamento al valore (caring) come pensiero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“Comunicazione Filosofica”, n. 3/1998.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Lipman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Il Prisma dei perché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Armando, Roma 1992.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Lipman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Elfie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Liguori, Napoli 2000.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Lipman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Kio e Gus,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Liguori, Napoli 2000.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Lipman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Pixie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Liguori, Napoli 2000.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Maderna R.,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All’asilo con filosofia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“Famiglia Cristiana”, N° 50 del 23.12.1987.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Matthews G. B.,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La filosofia e il bambino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Armando, Roma 1981.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Montesarchio P.,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La metafisica dei bambini paragonata a quella degli adulti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Morlacchi, Perugia 2003.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Pulvirenti F.,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Responsabilità e formazione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ETIS, Pisa 2004.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Rohbeck J.,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Imparare a filosofare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Calcaterra R.M., L’insegnamento della filosofia oggi, Schena, Fasano 1994.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Ruffaldi E.,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Insegnare filosofia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La Nuova Italia, Firenze 1999.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Santi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Filosofare con i bambini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. Conversazione con M. Lipman, in “E.P.”, N. 6/1991.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Santi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Philosophy for children: una proposta per pensare a scuola,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in “Scuola e città”, N. 9/1990.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Santi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La filosofia tra i bambini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“Scuola e città”, N. 5/1991.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Santi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Ragionare con il discorso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La Nuova Italia, Firenze 1995.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Scalabrin S.,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Filosofia per bambini,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in “Cultura e libri”, N° 103/1996.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Sharp A.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L’ospedale delle bambole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Liguori, Napoli 2000.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Per un’educazione al pensiero complesso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“Bollettino SFI”, N. 159/97.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Insegnare a pensare. Un’esperienza di formazione a pensare il pensiero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“Adultità”, Milano, Guerini e Associati, ottobre 1997.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Una rete di scambio per la formazione docente e la costruzione di curricoli in una prospettiva europea: l’esperienza di SOPHIA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“Studium Educationis”,  Padova, CEDAM, n.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br/>
        <w:t>6, novembre – dicembre 1997.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Pensare in una comunità di ricerca. Un percorso di formazione con insegnanti della scuola di base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Studium Educationis, Padova, CEDAM, n. I, gennaio 1998.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Una didattica dei processi di pensiero: modelli teorici ed indirizzi operativi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V.Sarracino (a cura di) Progettare la formazione, Pensa Multimedia Lecce, 1997.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 L’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intervento sul pensiero nei processi di formazione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V. Sarracino (a cura di) La formazione. Modelli ed esperienze,  Liguori, Napoli 1997.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lastRenderedPageBreak/>
        <w:t>Striano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Pensare in una “comunità di ricerca”: una proposta di modello formativo per il biennio della secondaria superiore. Ipotesi di prevenzione della dispersione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in V. Sarracino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br/>
        <w:t>(a cura di) La formazione. Modelli ed esperienze, Liguori, Napoli 1997.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Formazione e pensiero complesso, (contributo all’edizione dei materiali di lavoro della ricerca al 40% delle Università di Bari, Firenze, Milano Napoli, Padova: Analisi empirica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br/>
        <w:t>e sistemica del processo formativo. Un’ipotesi di modello interpretativo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in P.Orefice, (a cura di) Formazione e processo formativo. Ipotesi interpretative, Franco Angeli, Milano 1997.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Quando il pensiero si racconta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Meltemi, Roma 1999.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Striano M.,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Il perché delle cose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“Scuola dell’infanzia”, n. 11/2005.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Stefanel S.,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La Kinderphilosophie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“Insegnare”, N. 1/1992.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Suma R.,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L’isola dei filosofi,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in “Scuola Se”, N° 3/1995.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Suma R.,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I piccoli amici di Socrate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 3° Circolo didattico, Corigliano Calabro 1999.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Valentino F.,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Poesia, fantasia, filosofia,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Armando, Roma 2002.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Vigone L.,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La filosofia con il bambino, la filosofia per il bambino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In “Bollettino SFI”, N. 131/1987.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Zoletto D., 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La scrittura e la filosofia dei “piccoli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“, in “Aut-aut”, n. 301-2/2001</w:t>
      </w:r>
    </w:p>
    <w:p w:rsidR="00776979" w:rsidRPr="00776979" w:rsidRDefault="00776979" w:rsidP="007769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Zoller E.,</w:t>
      </w:r>
      <w:r w:rsidRPr="00776979">
        <w:rPr>
          <w:rFonts w:ascii="Arial" w:eastAsia="Times New Roman" w:hAnsi="Arial" w:cs="Arial"/>
          <w:i/>
          <w:iCs/>
          <w:color w:val="414141"/>
          <w:sz w:val="24"/>
          <w:szCs w:val="24"/>
          <w:lang w:eastAsia="it-IT"/>
        </w:rPr>
        <w:t> I nostri piccoli filosofi</w:t>
      </w:r>
      <w:r w:rsidRPr="00776979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Red Ediz., Como 1996.</w:t>
      </w:r>
    </w:p>
    <w:p w:rsidR="008E4B84" w:rsidRDefault="00BE185C"/>
    <w:sectPr w:rsidR="008E4B84" w:rsidSect="002C6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WaitAndSe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979"/>
    <w:rsid w:val="00232BE7"/>
    <w:rsid w:val="002C616B"/>
    <w:rsid w:val="00776979"/>
    <w:rsid w:val="009E1E8F"/>
    <w:rsid w:val="00B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6B"/>
  </w:style>
  <w:style w:type="paragraph" w:styleId="Titolo1">
    <w:name w:val="heading 1"/>
    <w:basedOn w:val="Normale"/>
    <w:link w:val="Titolo1Carattere"/>
    <w:uiPriority w:val="9"/>
    <w:qFormat/>
    <w:rsid w:val="0077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69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769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3</cp:revision>
  <dcterms:created xsi:type="dcterms:W3CDTF">2020-09-18T17:21:00Z</dcterms:created>
  <dcterms:modified xsi:type="dcterms:W3CDTF">2020-09-18T18:38:00Z</dcterms:modified>
</cp:coreProperties>
</file>