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59" w:rsidRPr="001F2EC0" w:rsidRDefault="001F2EC0" w:rsidP="001F2EC0">
      <w:pPr>
        <w:spacing w:after="0" w:line="360" w:lineRule="auto"/>
        <w:rPr>
          <w:rFonts w:ascii="Bookman Old Style" w:hAnsi="Bookman Old Style"/>
          <w:sz w:val="32"/>
          <w:szCs w:val="32"/>
        </w:rPr>
      </w:pPr>
      <w:r w:rsidRPr="001F2EC0">
        <w:rPr>
          <w:rFonts w:ascii="Bookman Old Style" w:hAnsi="Bookman Old Style"/>
          <w:sz w:val="32"/>
          <w:szCs w:val="32"/>
        </w:rPr>
        <w:t xml:space="preserve">CITTA SUMERE </w:t>
      </w:r>
    </w:p>
    <w:p w:rsidR="001F2EC0" w:rsidRPr="001F2EC0" w:rsidRDefault="001F2EC0" w:rsidP="001F2EC0">
      <w:pPr>
        <w:spacing w:after="0" w:line="360" w:lineRule="auto"/>
        <w:rPr>
          <w:rFonts w:ascii="Bookman Old Style" w:eastAsia="Times New Roman" w:hAnsi="Bookman Old Style" w:cs="Times New Roman"/>
          <w:color w:val="333333"/>
          <w:sz w:val="32"/>
          <w:szCs w:val="32"/>
          <w:lang w:eastAsia="it-IT"/>
        </w:rPr>
      </w:pPr>
      <w:r w:rsidRPr="001F2EC0">
        <w:rPr>
          <w:rFonts w:ascii="Bookman Old Style" w:eastAsia="Times New Roman" w:hAnsi="Bookman Old Style" w:cs="Times New Roman"/>
          <w:color w:val="333333"/>
          <w:sz w:val="32"/>
          <w:szCs w:val="32"/>
          <w:lang w:eastAsia="it-IT"/>
        </w:rPr>
        <w:t xml:space="preserve">Tra le antiche civiltà della Mesopotamia, </w:t>
      </w:r>
      <w:r>
        <w:rPr>
          <w:rFonts w:ascii="Bookman Old Style" w:eastAsia="Times New Roman" w:hAnsi="Bookman Old Style" w:cs="Times New Roman"/>
          <w:color w:val="333333"/>
          <w:sz w:val="32"/>
          <w:szCs w:val="32"/>
          <w:lang w:eastAsia="it-IT"/>
        </w:rPr>
        <w:t>in</w:t>
      </w:r>
      <w:r w:rsidRPr="001F2EC0">
        <w:rPr>
          <w:rFonts w:ascii="Bookman Old Style" w:eastAsia="Times New Roman" w:hAnsi="Bookman Old Style" w:cs="Times New Roman"/>
          <w:color w:val="333333"/>
          <w:sz w:val="32"/>
          <w:szCs w:val="32"/>
          <w:lang w:eastAsia="it-IT"/>
        </w:rPr>
        <w:t xml:space="preserve"> ordine di tempo, la prima a svilupparsi sembra essere la civiltà dei Sumeri, della quale fanno parte </w:t>
      </w:r>
      <w:r w:rsidRPr="001F2EC0">
        <w:rPr>
          <w:rFonts w:ascii="Bookman Old Style" w:eastAsia="Times New Roman" w:hAnsi="Bookman Old Style" w:cs="Times New Roman"/>
          <w:b/>
          <w:bCs/>
          <w:color w:val="333333"/>
          <w:sz w:val="32"/>
          <w:szCs w:val="32"/>
          <w:lang w:eastAsia="it-IT"/>
        </w:rPr>
        <w:t>i più antichi reperti artistici</w:t>
      </w:r>
      <w:r w:rsidRPr="001F2EC0">
        <w:rPr>
          <w:rFonts w:ascii="Bookman Old Style" w:eastAsia="Times New Roman" w:hAnsi="Bookman Old Style" w:cs="Times New Roman"/>
          <w:color w:val="333333"/>
          <w:sz w:val="32"/>
          <w:szCs w:val="32"/>
          <w:lang w:eastAsia="it-IT"/>
        </w:rPr>
        <w:t xml:space="preserve">, ritrovati nelle città di </w:t>
      </w:r>
      <w:proofErr w:type="spellStart"/>
      <w:r w:rsidRPr="001F2EC0">
        <w:rPr>
          <w:rFonts w:ascii="Bookman Old Style" w:eastAsia="Times New Roman" w:hAnsi="Bookman Old Style" w:cs="Times New Roman"/>
          <w:b/>
          <w:bCs/>
          <w:color w:val="333333"/>
          <w:sz w:val="32"/>
          <w:szCs w:val="32"/>
          <w:lang w:eastAsia="it-IT"/>
        </w:rPr>
        <w:t>Uruk</w:t>
      </w:r>
      <w:proofErr w:type="spellEnd"/>
      <w:r w:rsidRPr="001F2EC0">
        <w:rPr>
          <w:rFonts w:ascii="Bookman Old Style" w:eastAsia="Times New Roman" w:hAnsi="Bookman Old Style" w:cs="Times New Roman"/>
          <w:color w:val="333333"/>
          <w:sz w:val="32"/>
          <w:szCs w:val="32"/>
          <w:lang w:eastAsia="it-IT"/>
        </w:rPr>
        <w:t xml:space="preserve"> (odierna </w:t>
      </w:r>
      <w:proofErr w:type="spellStart"/>
      <w:r w:rsidRPr="001F2EC0">
        <w:rPr>
          <w:rFonts w:ascii="Bookman Old Style" w:eastAsia="Times New Roman" w:hAnsi="Bookman Old Style" w:cs="Times New Roman"/>
          <w:color w:val="333333"/>
          <w:sz w:val="32"/>
          <w:szCs w:val="32"/>
          <w:lang w:eastAsia="it-IT"/>
        </w:rPr>
        <w:t>Warka</w:t>
      </w:r>
      <w:proofErr w:type="spellEnd"/>
      <w:r w:rsidRPr="001F2EC0">
        <w:rPr>
          <w:rFonts w:ascii="Bookman Old Style" w:eastAsia="Times New Roman" w:hAnsi="Bookman Old Style" w:cs="Times New Roman"/>
          <w:color w:val="333333"/>
          <w:sz w:val="32"/>
          <w:szCs w:val="32"/>
          <w:lang w:eastAsia="it-IT"/>
        </w:rPr>
        <w:t xml:space="preserve">) e </w:t>
      </w:r>
      <w:r w:rsidRPr="001F2EC0">
        <w:rPr>
          <w:rFonts w:ascii="Bookman Old Style" w:eastAsia="Times New Roman" w:hAnsi="Bookman Old Style" w:cs="Times New Roman"/>
          <w:b/>
          <w:bCs/>
          <w:color w:val="333333"/>
          <w:sz w:val="32"/>
          <w:szCs w:val="32"/>
          <w:lang w:eastAsia="it-IT"/>
        </w:rPr>
        <w:t>Ur</w:t>
      </w:r>
      <w:r w:rsidRPr="001F2EC0">
        <w:rPr>
          <w:rFonts w:ascii="Bookman Old Style" w:eastAsia="Times New Roman" w:hAnsi="Bookman Old Style" w:cs="Times New Roman"/>
          <w:color w:val="333333"/>
          <w:sz w:val="32"/>
          <w:szCs w:val="32"/>
          <w:lang w:eastAsia="it-IT"/>
        </w:rPr>
        <w:t xml:space="preserve">, nella bassa Mesopotamia, </w:t>
      </w:r>
      <w:r w:rsidRPr="001F2EC0">
        <w:rPr>
          <w:rFonts w:ascii="Bookman Old Style" w:eastAsia="Times New Roman" w:hAnsi="Bookman Old Style" w:cs="Times New Roman"/>
          <w:b/>
          <w:bCs/>
          <w:color w:val="333333"/>
          <w:sz w:val="32"/>
          <w:szCs w:val="32"/>
          <w:lang w:eastAsia="it-IT"/>
        </w:rPr>
        <w:t>databili a partire del 4.000 a. C.</w:t>
      </w:r>
      <w:r w:rsidRPr="001F2EC0">
        <w:rPr>
          <w:rFonts w:ascii="Bookman Old Style" w:eastAsia="Times New Roman" w:hAnsi="Bookman Old Style" w:cs="Times New Roman"/>
          <w:color w:val="333333"/>
          <w:sz w:val="32"/>
          <w:szCs w:val="32"/>
          <w:lang w:eastAsia="it-IT"/>
        </w:rPr>
        <w:t xml:space="preserve"> In queste città si concentra la più importante produzione artistica e architetton</w:t>
      </w:r>
      <w:r>
        <w:rPr>
          <w:rFonts w:ascii="Bookman Old Style" w:eastAsia="Times New Roman" w:hAnsi="Bookman Old Style" w:cs="Times New Roman"/>
          <w:color w:val="333333"/>
          <w:sz w:val="32"/>
          <w:szCs w:val="32"/>
          <w:lang w:eastAsia="it-IT"/>
        </w:rPr>
        <w:t>ica dell'ovest asiatico. Seguiranno</w:t>
      </w:r>
      <w:r w:rsidRPr="001F2EC0">
        <w:rPr>
          <w:rFonts w:ascii="Bookman Old Style" w:eastAsia="Times New Roman" w:hAnsi="Bookman Old Style" w:cs="Times New Roman"/>
          <w:color w:val="333333"/>
          <w:sz w:val="32"/>
          <w:szCs w:val="32"/>
          <w:lang w:eastAsia="it-IT"/>
        </w:rPr>
        <w:t xml:space="preserve"> </w:t>
      </w:r>
      <w:r>
        <w:rPr>
          <w:rFonts w:ascii="Bookman Old Style" w:eastAsia="Times New Roman" w:hAnsi="Bookman Old Style" w:cs="Times New Roman"/>
          <w:color w:val="333333"/>
          <w:sz w:val="32"/>
          <w:szCs w:val="32"/>
          <w:lang w:eastAsia="it-IT"/>
        </w:rPr>
        <w:t>le</w:t>
      </w:r>
      <w:r w:rsidRPr="001F2EC0">
        <w:rPr>
          <w:rFonts w:ascii="Bookman Old Style" w:eastAsia="Times New Roman" w:hAnsi="Bookman Old Style" w:cs="Times New Roman"/>
          <w:color w:val="333333"/>
          <w:sz w:val="32"/>
          <w:szCs w:val="32"/>
          <w:lang w:eastAsia="it-IT"/>
        </w:rPr>
        <w:t xml:space="preserve"> città di </w:t>
      </w:r>
      <w:proofErr w:type="spellStart"/>
      <w:r w:rsidRPr="001F2EC0">
        <w:rPr>
          <w:rFonts w:ascii="Bookman Old Style" w:eastAsia="Times New Roman" w:hAnsi="Bookman Old Style" w:cs="Times New Roman"/>
          <w:b/>
          <w:bCs/>
          <w:color w:val="333333"/>
          <w:sz w:val="32"/>
          <w:szCs w:val="32"/>
          <w:lang w:eastAsia="it-IT"/>
        </w:rPr>
        <w:t>Agadè</w:t>
      </w:r>
      <w:proofErr w:type="spellEnd"/>
      <w:r w:rsidRPr="001F2EC0">
        <w:rPr>
          <w:rFonts w:ascii="Bookman Old Style" w:eastAsia="Times New Roman" w:hAnsi="Bookman Old Style" w:cs="Times New Roman"/>
          <w:color w:val="333333"/>
          <w:sz w:val="32"/>
          <w:szCs w:val="32"/>
          <w:lang w:eastAsia="it-IT"/>
        </w:rPr>
        <w:t>,</w:t>
      </w:r>
      <w:r w:rsidRPr="001F2EC0">
        <w:rPr>
          <w:rFonts w:ascii="Bookman Old Style" w:eastAsia="Times New Roman" w:hAnsi="Bookman Old Style" w:cs="Times New Roman"/>
          <w:b/>
          <w:bCs/>
          <w:color w:val="333333"/>
          <w:sz w:val="32"/>
          <w:szCs w:val="32"/>
          <w:lang w:eastAsia="it-IT"/>
        </w:rPr>
        <w:t xml:space="preserve"> </w:t>
      </w:r>
      <w:proofErr w:type="spellStart"/>
      <w:r w:rsidRPr="001F2EC0">
        <w:rPr>
          <w:rFonts w:ascii="Bookman Old Style" w:eastAsia="Times New Roman" w:hAnsi="Bookman Old Style" w:cs="Times New Roman"/>
          <w:b/>
          <w:bCs/>
          <w:color w:val="333333"/>
          <w:sz w:val="32"/>
          <w:szCs w:val="32"/>
          <w:lang w:eastAsia="it-IT"/>
        </w:rPr>
        <w:t>Lagash</w:t>
      </w:r>
      <w:proofErr w:type="spellEnd"/>
      <w:r w:rsidRPr="001F2EC0">
        <w:rPr>
          <w:rFonts w:ascii="Bookman Old Style" w:eastAsia="Times New Roman" w:hAnsi="Bookman Old Style" w:cs="Times New Roman"/>
          <w:color w:val="333333"/>
          <w:sz w:val="32"/>
          <w:szCs w:val="32"/>
          <w:lang w:eastAsia="it-IT"/>
        </w:rPr>
        <w:t xml:space="preserve"> e </w:t>
      </w:r>
      <w:r w:rsidRPr="001F2EC0">
        <w:rPr>
          <w:rFonts w:ascii="Bookman Old Style" w:eastAsia="Times New Roman" w:hAnsi="Bookman Old Style" w:cs="Times New Roman"/>
          <w:b/>
          <w:bCs/>
          <w:color w:val="333333"/>
          <w:sz w:val="32"/>
          <w:szCs w:val="32"/>
          <w:lang w:eastAsia="it-IT"/>
        </w:rPr>
        <w:t>Mari</w:t>
      </w:r>
      <w:r w:rsidRPr="001F2EC0">
        <w:rPr>
          <w:rFonts w:ascii="Bookman Old Style" w:eastAsia="Times New Roman" w:hAnsi="Bookman Old Style" w:cs="Times New Roman"/>
          <w:color w:val="333333"/>
          <w:sz w:val="32"/>
          <w:szCs w:val="32"/>
          <w:lang w:eastAsia="it-IT"/>
        </w:rPr>
        <w:t>. Già intorno al III millennio a. C. il loro sviluppo politico artistico e culturale raggiunge uno splendore superiore a qualsiasi altra popolazione precedente.</w:t>
      </w:r>
    </w:p>
    <w:p w:rsidR="001F2EC0" w:rsidRPr="001F2EC0" w:rsidRDefault="001F2EC0" w:rsidP="001F2EC0">
      <w:pPr>
        <w:spacing w:after="0" w:line="360" w:lineRule="auto"/>
        <w:rPr>
          <w:rFonts w:ascii="Bookman Old Style" w:eastAsia="Times New Roman" w:hAnsi="Bookman Old Style" w:cs="Times New Roman"/>
          <w:color w:val="333333"/>
          <w:sz w:val="32"/>
          <w:szCs w:val="32"/>
          <w:lang w:eastAsia="it-IT"/>
        </w:rPr>
      </w:pPr>
      <w:r w:rsidRPr="001F2EC0">
        <w:rPr>
          <w:rFonts w:ascii="Bookman Old Style" w:eastAsia="Times New Roman" w:hAnsi="Bookman Old Style" w:cs="Times New Roman"/>
          <w:color w:val="333333"/>
          <w:sz w:val="32"/>
          <w:szCs w:val="32"/>
          <w:lang w:eastAsia="it-IT"/>
        </w:rPr>
        <w:t xml:space="preserve">In base ai ritrovamenti archeologici, i </w:t>
      </w:r>
      <w:r w:rsidRPr="001F2EC0">
        <w:rPr>
          <w:rFonts w:ascii="Bookman Old Style" w:eastAsia="Times New Roman" w:hAnsi="Bookman Old Style" w:cs="Times New Roman"/>
          <w:b/>
          <w:bCs/>
          <w:color w:val="333333"/>
          <w:sz w:val="32"/>
          <w:szCs w:val="32"/>
          <w:lang w:eastAsia="it-IT"/>
        </w:rPr>
        <w:t>Sumeri</w:t>
      </w:r>
      <w:r w:rsidRPr="001F2EC0">
        <w:rPr>
          <w:rFonts w:ascii="Bookman Old Style" w:eastAsia="Times New Roman" w:hAnsi="Bookman Old Style" w:cs="Times New Roman"/>
          <w:color w:val="333333"/>
          <w:sz w:val="32"/>
          <w:szCs w:val="32"/>
          <w:lang w:eastAsia="it-IT"/>
        </w:rPr>
        <w:t xml:space="preserve"> sono i fondatori delle </w:t>
      </w:r>
      <w:r w:rsidRPr="001F2EC0">
        <w:rPr>
          <w:rFonts w:ascii="Bookman Old Style" w:eastAsia="Times New Roman" w:hAnsi="Bookman Old Style" w:cs="Times New Roman"/>
          <w:b/>
          <w:bCs/>
          <w:color w:val="333333"/>
          <w:sz w:val="32"/>
          <w:szCs w:val="32"/>
          <w:lang w:eastAsia="it-IT"/>
        </w:rPr>
        <w:t>prime grandi città</w:t>
      </w:r>
      <w:r w:rsidRPr="001F2EC0">
        <w:rPr>
          <w:rFonts w:ascii="Bookman Old Style" w:eastAsia="Times New Roman" w:hAnsi="Bookman Old Style" w:cs="Times New Roman"/>
          <w:color w:val="333333"/>
          <w:sz w:val="32"/>
          <w:szCs w:val="32"/>
          <w:lang w:eastAsia="it-IT"/>
        </w:rPr>
        <w:t xml:space="preserve"> della storia. La memoria leggendaria di Ur, </w:t>
      </w:r>
      <w:proofErr w:type="spellStart"/>
      <w:r w:rsidRPr="001F2EC0">
        <w:rPr>
          <w:rFonts w:ascii="Bookman Old Style" w:eastAsia="Times New Roman" w:hAnsi="Bookman Old Style" w:cs="Times New Roman"/>
          <w:color w:val="333333"/>
          <w:sz w:val="32"/>
          <w:szCs w:val="32"/>
          <w:lang w:eastAsia="it-IT"/>
        </w:rPr>
        <w:t>Uruk</w:t>
      </w:r>
      <w:proofErr w:type="spellEnd"/>
      <w:r w:rsidRPr="001F2EC0">
        <w:rPr>
          <w:rFonts w:ascii="Bookman Old Style" w:eastAsia="Times New Roman" w:hAnsi="Bookman Old Style" w:cs="Times New Roman"/>
          <w:color w:val="333333"/>
          <w:sz w:val="32"/>
          <w:szCs w:val="32"/>
          <w:lang w:eastAsia="it-IT"/>
        </w:rPr>
        <w:t xml:space="preserve">, </w:t>
      </w:r>
      <w:proofErr w:type="spellStart"/>
      <w:r w:rsidRPr="001F2EC0">
        <w:rPr>
          <w:rFonts w:ascii="Bookman Old Style" w:eastAsia="Times New Roman" w:hAnsi="Bookman Old Style" w:cs="Times New Roman"/>
          <w:color w:val="333333"/>
          <w:sz w:val="32"/>
          <w:szCs w:val="32"/>
          <w:lang w:eastAsia="it-IT"/>
        </w:rPr>
        <w:t>Làgash</w:t>
      </w:r>
      <w:proofErr w:type="spellEnd"/>
      <w:r w:rsidRPr="001F2EC0">
        <w:rPr>
          <w:rFonts w:ascii="Bookman Old Style" w:eastAsia="Times New Roman" w:hAnsi="Bookman Old Style" w:cs="Times New Roman"/>
          <w:color w:val="333333"/>
          <w:sz w:val="32"/>
          <w:szCs w:val="32"/>
          <w:lang w:eastAsia="it-IT"/>
        </w:rPr>
        <w:t xml:space="preserve">, </w:t>
      </w:r>
      <w:proofErr w:type="spellStart"/>
      <w:r w:rsidRPr="001F2EC0">
        <w:rPr>
          <w:rFonts w:ascii="Bookman Old Style" w:eastAsia="Times New Roman" w:hAnsi="Bookman Old Style" w:cs="Times New Roman"/>
          <w:color w:val="333333"/>
          <w:sz w:val="32"/>
          <w:szCs w:val="32"/>
          <w:lang w:eastAsia="it-IT"/>
        </w:rPr>
        <w:t>Èridu</w:t>
      </w:r>
      <w:proofErr w:type="spellEnd"/>
      <w:r w:rsidRPr="001F2EC0">
        <w:rPr>
          <w:rFonts w:ascii="Bookman Old Style" w:eastAsia="Times New Roman" w:hAnsi="Bookman Old Style" w:cs="Times New Roman"/>
          <w:color w:val="333333"/>
          <w:sz w:val="32"/>
          <w:szCs w:val="32"/>
          <w:lang w:eastAsia="it-IT"/>
        </w:rPr>
        <w:t xml:space="preserve">, </w:t>
      </w:r>
      <w:proofErr w:type="spellStart"/>
      <w:r w:rsidRPr="001F2EC0">
        <w:rPr>
          <w:rFonts w:ascii="Bookman Old Style" w:eastAsia="Times New Roman" w:hAnsi="Bookman Old Style" w:cs="Times New Roman"/>
          <w:color w:val="333333"/>
          <w:sz w:val="32"/>
          <w:szCs w:val="32"/>
          <w:lang w:eastAsia="it-IT"/>
        </w:rPr>
        <w:t>Umma</w:t>
      </w:r>
      <w:proofErr w:type="spellEnd"/>
      <w:r w:rsidRPr="001F2EC0">
        <w:rPr>
          <w:rFonts w:ascii="Bookman Old Style" w:eastAsia="Times New Roman" w:hAnsi="Bookman Old Style" w:cs="Times New Roman"/>
          <w:color w:val="333333"/>
          <w:sz w:val="32"/>
          <w:szCs w:val="32"/>
          <w:lang w:eastAsia="it-IT"/>
        </w:rPr>
        <w:t xml:space="preserve">, </w:t>
      </w:r>
      <w:proofErr w:type="spellStart"/>
      <w:r w:rsidRPr="001F2EC0">
        <w:rPr>
          <w:rFonts w:ascii="Bookman Old Style" w:eastAsia="Times New Roman" w:hAnsi="Bookman Old Style" w:cs="Times New Roman"/>
          <w:color w:val="333333"/>
          <w:sz w:val="32"/>
          <w:szCs w:val="32"/>
          <w:lang w:eastAsia="it-IT"/>
        </w:rPr>
        <w:t>Nìppur</w:t>
      </w:r>
      <w:proofErr w:type="spellEnd"/>
    </w:p>
    <w:p w:rsidR="001F2EC0" w:rsidRDefault="001F2EC0" w:rsidP="001F2EC0">
      <w:pPr>
        <w:spacing w:after="0"/>
      </w:pPr>
    </w:p>
    <w:sectPr w:rsidR="001F2EC0" w:rsidSect="00B052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2EC0"/>
    <w:rsid w:val="001F2EC0"/>
    <w:rsid w:val="00B05259"/>
    <w:rsid w:val="00B3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2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Cepich</dc:creator>
  <cp:lastModifiedBy>Luciana Cepich</cp:lastModifiedBy>
  <cp:revision>2</cp:revision>
  <dcterms:created xsi:type="dcterms:W3CDTF">2015-11-16T20:53:00Z</dcterms:created>
  <dcterms:modified xsi:type="dcterms:W3CDTF">2015-11-16T20:53:00Z</dcterms:modified>
</cp:coreProperties>
</file>